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A57" w:rsidRDefault="001D0FD1">
      <w:pPr>
        <w:spacing w:line="480" w:lineRule="auto"/>
        <w:rPr>
          <w:rFonts w:ascii="Times New Roman" w:hAnsi="Times New Roman" w:cs="Times New Roman"/>
          <w:sz w:val="24"/>
          <w:szCs w:val="24"/>
        </w:rPr>
      </w:pPr>
      <w:r>
        <w:rPr>
          <w:rFonts w:ascii="Times New Roman" w:hAnsi="Times New Roman" w:cs="Times New Roman"/>
          <w:sz w:val="24"/>
          <w:szCs w:val="24"/>
        </w:rPr>
        <w:t>Name:</w:t>
      </w:r>
    </w:p>
    <w:p w:rsidR="00364A57" w:rsidRDefault="001D0FD1">
      <w:pPr>
        <w:spacing w:line="480" w:lineRule="auto"/>
        <w:rPr>
          <w:rFonts w:ascii="Times New Roman" w:hAnsi="Times New Roman" w:cs="Times New Roman"/>
          <w:sz w:val="24"/>
          <w:szCs w:val="24"/>
        </w:rPr>
      </w:pPr>
      <w:r>
        <w:rPr>
          <w:rFonts w:ascii="Times New Roman" w:hAnsi="Times New Roman" w:cs="Times New Roman"/>
          <w:sz w:val="24"/>
          <w:szCs w:val="24"/>
        </w:rPr>
        <w:t>Professor:</w:t>
      </w:r>
    </w:p>
    <w:p w:rsidR="00364A57" w:rsidRDefault="001D0FD1">
      <w:pPr>
        <w:spacing w:line="480" w:lineRule="auto"/>
        <w:rPr>
          <w:rFonts w:ascii="Times New Roman" w:hAnsi="Times New Roman" w:cs="Times New Roman"/>
          <w:sz w:val="24"/>
          <w:szCs w:val="24"/>
        </w:rPr>
      </w:pPr>
      <w:r>
        <w:rPr>
          <w:rFonts w:ascii="Times New Roman" w:hAnsi="Times New Roman" w:cs="Times New Roman"/>
          <w:sz w:val="24"/>
          <w:szCs w:val="24"/>
        </w:rPr>
        <w:t>Course:</w:t>
      </w:r>
    </w:p>
    <w:p w:rsidR="00364A57" w:rsidRDefault="001D0FD1">
      <w:pPr>
        <w:spacing w:line="480" w:lineRule="auto"/>
        <w:rPr>
          <w:rFonts w:ascii="Times New Roman" w:hAnsi="Times New Roman" w:cs="Times New Roman"/>
          <w:sz w:val="24"/>
          <w:szCs w:val="24"/>
        </w:rPr>
      </w:pPr>
      <w:r>
        <w:rPr>
          <w:rFonts w:ascii="Times New Roman" w:hAnsi="Times New Roman" w:cs="Times New Roman"/>
          <w:sz w:val="24"/>
          <w:szCs w:val="24"/>
        </w:rPr>
        <w:t>Date:</w:t>
      </w:r>
    </w:p>
    <w:p w:rsidR="00364A57" w:rsidRDefault="001D0FD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Analysis of National Automobile Dealers Association (NADA) Performance (2010 – 2016)</w:t>
      </w:r>
    </w:p>
    <w:p w:rsidR="00364A57" w:rsidRDefault="00364A57">
      <w:pPr>
        <w:spacing w:line="480" w:lineRule="auto"/>
        <w:rPr>
          <w:rFonts w:ascii="Times New Roman" w:hAnsi="Times New Roman" w:cs="Times New Roman"/>
          <w:sz w:val="24"/>
          <w:szCs w:val="24"/>
        </w:rPr>
      </w:pPr>
    </w:p>
    <w:p w:rsidR="00364A57" w:rsidRDefault="001D0FD1">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5486400" cy="3200400"/>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64A57" w:rsidRDefault="001D0FD1">
      <w:pPr>
        <w:spacing w:line="480" w:lineRule="auto"/>
        <w:rPr>
          <w:rFonts w:ascii="Times New Roman" w:hAnsi="Times New Roman" w:cs="Times New Roman"/>
          <w:sz w:val="24"/>
          <w:szCs w:val="24"/>
        </w:rPr>
      </w:pPr>
      <w:r>
        <w:rPr>
          <w:rFonts w:ascii="Times New Roman" w:hAnsi="Times New Roman" w:cs="Times New Roman"/>
          <w:sz w:val="24"/>
          <w:szCs w:val="24"/>
        </w:rPr>
        <w:t>Chart 1: Mean unit retail sales in thousands from 2010 to 2016</w:t>
      </w:r>
    </w:p>
    <w:p w:rsidR="00364A57" w:rsidRDefault="001D0FD1">
      <w:pPr>
        <w:spacing w:line="480" w:lineRule="auto"/>
        <w:rPr>
          <w:rFonts w:ascii="Times New Roman" w:hAnsi="Times New Roman" w:cs="Times New Roman"/>
          <w:sz w:val="24"/>
          <w:szCs w:val="24"/>
        </w:rPr>
      </w:pPr>
      <w:r>
        <w:rPr>
          <w:rFonts w:ascii="Times New Roman" w:hAnsi="Times New Roman" w:cs="Times New Roman"/>
          <w:sz w:val="24"/>
          <w:szCs w:val="24"/>
        </w:rPr>
        <w:t>For over two decades, the National Automobile Dealers Association (NADA) has portrayed an excellent performance in terms of retail unit sales, both in the domestic and foreign markets. The increased sales in these markets can be linked to the increased dem</w:t>
      </w:r>
      <w:r>
        <w:rPr>
          <w:rFonts w:ascii="Times New Roman" w:hAnsi="Times New Roman" w:cs="Times New Roman"/>
          <w:sz w:val="24"/>
          <w:szCs w:val="24"/>
        </w:rPr>
        <w:t xml:space="preserve">and for light trucks. </w:t>
      </w:r>
    </w:p>
    <w:p w:rsidR="00364A57" w:rsidRDefault="001D0FD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 increased unit retail sales for domestic and foreign light vehicles can be attributed to the availability of different model choices. Following a difficult economic time from 2008 through to 2010, the company had to adopt newer a</w:t>
      </w:r>
      <w:r>
        <w:rPr>
          <w:rFonts w:ascii="Times New Roman" w:hAnsi="Times New Roman" w:cs="Times New Roman"/>
          <w:sz w:val="24"/>
          <w:szCs w:val="24"/>
        </w:rPr>
        <w:t>pproaches to increase its sales in different markets. By manufacturing different models of light trucks, the company was able to increase its customer acquisition, which significantly increased sales from 2010 through to 2016. Another factor leading to the</w:t>
      </w:r>
      <w:r>
        <w:rPr>
          <w:rFonts w:ascii="Times New Roman" w:hAnsi="Times New Roman" w:cs="Times New Roman"/>
          <w:sz w:val="24"/>
          <w:szCs w:val="24"/>
        </w:rPr>
        <w:t xml:space="preserve"> accelerated unit retail sales in both markets is an increase in the stock market. Stock market gains played a critical role in increasing the ability of buyers to purchase new cars. Another factor that led to an increase in sales was the increasing cost o</w:t>
      </w:r>
      <w:r>
        <w:rPr>
          <w:rFonts w:ascii="Times New Roman" w:hAnsi="Times New Roman" w:cs="Times New Roman"/>
          <w:sz w:val="24"/>
          <w:szCs w:val="24"/>
        </w:rPr>
        <w:t>f fuel. Most cars being manufactured at the time consumed higher volumes of fuel, which was a challenge, considering the tough economic times. The ability of the company to take advantage of this opportunity, and manufacture light trucks enabled them to in</w:t>
      </w:r>
      <w:r>
        <w:rPr>
          <w:rFonts w:ascii="Times New Roman" w:hAnsi="Times New Roman" w:cs="Times New Roman"/>
          <w:sz w:val="24"/>
          <w:szCs w:val="24"/>
        </w:rPr>
        <w:t xml:space="preserve">crease sales abruptly. Manufacturing low-fuel consumption vehicles was an excellent approach because it would allow customers to enjoy the luxury of owning a car and at a lower cost. </w:t>
      </w:r>
    </w:p>
    <w:p w:rsidR="00364A57" w:rsidRDefault="001D0FD1">
      <w:pPr>
        <w:spacing w:line="480" w:lineRule="auto"/>
        <w:rPr>
          <w:rFonts w:ascii="Times New Roman" w:hAnsi="Times New Roman" w:cs="Times New Roman"/>
          <w:sz w:val="24"/>
          <w:szCs w:val="24"/>
          <w:highlight w:val="yellow"/>
        </w:rPr>
      </w:pPr>
      <w:r>
        <w:rPr>
          <w:rFonts w:ascii="Times New Roman" w:hAnsi="Times New Roman" w:cs="Times New Roman"/>
          <w:sz w:val="24"/>
          <w:szCs w:val="24"/>
          <w:highlight w:val="yellow"/>
        </w:rPr>
        <w:t>Although the company has been doing well in domestic market, it has fail</w:t>
      </w:r>
      <w:r>
        <w:rPr>
          <w:rFonts w:ascii="Times New Roman" w:hAnsi="Times New Roman" w:cs="Times New Roman"/>
          <w:sz w:val="24"/>
          <w:szCs w:val="24"/>
          <w:highlight w:val="yellow"/>
        </w:rPr>
        <w:t>ed to employ similar strategies in the foreign markets thus leading to lower sales. The problem with decreased sales in the foreign markets has been witnessed throughout the years from 2010 to 2016. The conflict facing the company is the inability to match</w:t>
      </w:r>
      <w:r>
        <w:rPr>
          <w:rFonts w:ascii="Times New Roman" w:hAnsi="Times New Roman" w:cs="Times New Roman"/>
          <w:sz w:val="24"/>
          <w:szCs w:val="24"/>
          <w:highlight w:val="yellow"/>
        </w:rPr>
        <w:t xml:space="preserve"> foreign sales to domestic sales. </w:t>
      </w:r>
    </w:p>
    <w:p w:rsidR="00364A57" w:rsidRDefault="001D0FD1">
      <w:pPr>
        <w:spacing w:line="480" w:lineRule="auto"/>
        <w:rPr>
          <w:rFonts w:ascii="Times New Roman" w:hAnsi="Times New Roman" w:cs="Times New Roman"/>
          <w:sz w:val="24"/>
          <w:szCs w:val="24"/>
        </w:rPr>
      </w:pPr>
      <w:r>
        <w:rPr>
          <w:rFonts w:ascii="Times New Roman" w:hAnsi="Times New Roman" w:cs="Times New Roman"/>
          <w:sz w:val="24"/>
          <w:szCs w:val="24"/>
        </w:rPr>
        <w:t>Although sales in domestic and foreign markets increased simultaneously over the years, there was a major difference in the unit sales. Data in chart 1 shows that domestic unit sales were higher than foreign sales. In 201</w:t>
      </w:r>
      <w:r>
        <w:rPr>
          <w:rFonts w:ascii="Times New Roman" w:hAnsi="Times New Roman" w:cs="Times New Roman"/>
          <w:sz w:val="24"/>
          <w:szCs w:val="24"/>
        </w:rPr>
        <w:t>0, the average domestic unit sales were 418.4 thousand while foreign unit sales were 74.9 thousand. By 2016, domestic unit retail sales increased to 687.4 thousand while foreign sales had increased to 166.3 thousand. Despite that sales increased in both ma</w:t>
      </w:r>
      <w:r>
        <w:rPr>
          <w:rFonts w:ascii="Times New Roman" w:hAnsi="Times New Roman" w:cs="Times New Roman"/>
          <w:sz w:val="24"/>
          <w:szCs w:val="24"/>
        </w:rPr>
        <w:t xml:space="preserve">rkets, there was still a major difference. The difference can be associated with lack of </w:t>
      </w:r>
      <w:r>
        <w:rPr>
          <w:rFonts w:ascii="Times New Roman" w:hAnsi="Times New Roman" w:cs="Times New Roman"/>
          <w:sz w:val="24"/>
          <w:szCs w:val="24"/>
        </w:rPr>
        <w:lastRenderedPageBreak/>
        <w:t>vigorous marketing strategies in foreign markets. Also, the difference can be linked to the limited efforts to acquire customers from foreign markets. The data present</w:t>
      </w:r>
      <w:r>
        <w:rPr>
          <w:rFonts w:ascii="Times New Roman" w:hAnsi="Times New Roman" w:cs="Times New Roman"/>
          <w:sz w:val="24"/>
          <w:szCs w:val="24"/>
        </w:rPr>
        <w:t xml:space="preserve">ed shows that the company has been performing better over the years, with an increase in annual sales from 2010 through to 2016. </w:t>
      </w:r>
    </w:p>
    <w:p w:rsidR="00364A57" w:rsidRDefault="001D0FD1">
      <w:pPr>
        <w:spacing w:line="480" w:lineRule="auto"/>
        <w:rPr>
          <w:rFonts w:ascii="Times New Roman" w:hAnsi="Times New Roman" w:cs="Times New Roman"/>
          <w:sz w:val="24"/>
          <w:szCs w:val="24"/>
          <w:highlight w:val="yellow"/>
        </w:rPr>
      </w:pPr>
      <w:r>
        <w:rPr>
          <w:rFonts w:ascii="Times New Roman" w:hAnsi="Times New Roman" w:cs="Times New Roman"/>
          <w:sz w:val="24"/>
          <w:szCs w:val="24"/>
          <w:highlight w:val="yellow"/>
        </w:rPr>
        <w:t>The company should continue employing effective marketing strategies, while at the same time addressing consumer needs and int</w:t>
      </w:r>
      <w:r>
        <w:rPr>
          <w:rFonts w:ascii="Times New Roman" w:hAnsi="Times New Roman" w:cs="Times New Roman"/>
          <w:sz w:val="24"/>
          <w:szCs w:val="24"/>
          <w:highlight w:val="yellow"/>
        </w:rPr>
        <w:t xml:space="preserve">erests. By understanding consumer needs, the company will be better positioned to enlarge its foreign market. </w:t>
      </w:r>
      <w:r>
        <w:rPr>
          <w:rFonts w:ascii="Times New Roman" w:hAnsi="Times New Roman" w:cs="Times New Roman"/>
          <w:sz w:val="24"/>
          <w:szCs w:val="24"/>
          <w:highlight w:val="yellow"/>
        </w:rPr>
        <w:t xml:space="preserve">Another approach that leaders in NADA should adopt is customizing foreign light trucks to match the needs of consumers outside the United States. </w:t>
      </w:r>
      <w:r>
        <w:rPr>
          <w:rFonts w:ascii="Times New Roman" w:hAnsi="Times New Roman" w:cs="Times New Roman"/>
          <w:sz w:val="24"/>
          <w:szCs w:val="24"/>
          <w:highlight w:val="yellow"/>
        </w:rPr>
        <w:t xml:space="preserve">Employing these strategies will enable the company to address the problem of lower sales in foreign markets compared to the domestic market. </w:t>
      </w:r>
    </w:p>
    <w:sectPr w:rsidR="00364A57" w:rsidSect="00364A57">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FD1" w:rsidRDefault="001D0FD1" w:rsidP="00364A57">
      <w:pPr>
        <w:spacing w:after="0" w:line="240" w:lineRule="auto"/>
      </w:pPr>
      <w:r>
        <w:separator/>
      </w:r>
    </w:p>
  </w:endnote>
  <w:endnote w:type="continuationSeparator" w:id="0">
    <w:p w:rsidR="001D0FD1" w:rsidRDefault="001D0FD1" w:rsidP="00364A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FD1" w:rsidRDefault="001D0FD1" w:rsidP="00364A57">
      <w:pPr>
        <w:spacing w:after="0" w:line="240" w:lineRule="auto"/>
      </w:pPr>
      <w:r>
        <w:separator/>
      </w:r>
    </w:p>
  </w:footnote>
  <w:footnote w:type="continuationSeparator" w:id="0">
    <w:p w:rsidR="001D0FD1" w:rsidRDefault="001D0FD1" w:rsidP="00364A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A57" w:rsidRDefault="001D0FD1">
    <w:pPr>
      <w:pStyle w:val="Header"/>
      <w:jc w:val="right"/>
    </w:pPr>
    <w:r>
      <w:t>Surname</w:t>
    </w:r>
    <w:r w:rsidR="00364A57">
      <w:fldChar w:fldCharType="begin"/>
    </w:r>
    <w:r>
      <w:instrText xml:space="preserve"> PAGE   \* MERGEFORMAT </w:instrText>
    </w:r>
    <w:r w:rsidR="00364A57">
      <w:fldChar w:fldCharType="separate"/>
    </w:r>
    <w:r w:rsidR="000359D0">
      <w:rPr>
        <w:noProof/>
      </w:rPr>
      <w:t>1</w:t>
    </w:r>
    <w:r w:rsidR="00364A57">
      <w:rPr>
        <w:noProof/>
      </w:rPr>
      <w:fldChar w:fldCharType="end"/>
    </w:r>
  </w:p>
  <w:p w:rsidR="00364A57" w:rsidRDefault="00364A5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20"/>
  <w:characterSpacingControl w:val="doNotCompress"/>
  <w:footnotePr>
    <w:footnote w:id="-1"/>
    <w:footnote w:id="0"/>
  </w:footnotePr>
  <w:endnotePr>
    <w:endnote w:id="-1"/>
    <w:endnote w:id="0"/>
  </w:endnotePr>
  <w:compat/>
  <w:rsids>
    <w:rsidRoot w:val="00364A57"/>
    <w:rsid w:val="000359D0"/>
    <w:rsid w:val="001D0FD1"/>
    <w:rsid w:val="00364A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A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64A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A57"/>
  </w:style>
  <w:style w:type="paragraph" w:styleId="Footer">
    <w:name w:val="footer"/>
    <w:basedOn w:val="Normal"/>
    <w:link w:val="FooterChar"/>
    <w:uiPriority w:val="99"/>
    <w:rsid w:val="00364A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A57"/>
  </w:style>
  <w:style w:type="paragraph" w:styleId="BalloonText">
    <w:name w:val="Balloon Text"/>
    <w:basedOn w:val="Normal"/>
    <w:link w:val="BalloonTextChar"/>
    <w:uiPriority w:val="99"/>
    <w:semiHidden/>
    <w:unhideWhenUsed/>
    <w:rsid w:val="00035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9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Mean Unit Retail Sales</a:t>
            </a:r>
            <a:r>
              <a:rPr lang="en-US" baseline="0"/>
              <a:t> in 000's</a:t>
            </a:r>
            <a:endParaRPr lang="en-US"/>
          </a:p>
        </c:rich>
      </c:tx>
      <c:spPr>
        <a:noFill/>
        <a:ln>
          <a:noFill/>
        </a:ln>
        <a:effectLst/>
      </c:spPr>
    </c:title>
    <c:plotArea>
      <c:layout/>
      <c:barChart>
        <c:barDir val="col"/>
        <c:grouping val="clustered"/>
        <c:ser>
          <c:idx val="0"/>
          <c:order val="0"/>
          <c:tx>
            <c:strRef>
              <c:f>Sheet1!$B$1</c:f>
              <c:strCache>
                <c:ptCount val="1"/>
                <c:pt idx="0">
                  <c:v>Mean seasonally adjusted domestic sales</c:v>
                </c:pt>
              </c:strCache>
            </c:strRef>
          </c:tx>
          <c:spPr>
            <a:solidFill>
              <a:schemeClr val="accent1"/>
            </a:solidFill>
            <a:ln>
              <a:noFill/>
            </a:ln>
            <a:effectLst/>
          </c:spPr>
          <c:cat>
            <c:numRef>
              <c:f>Sheet1!$A$2:$A$8</c:f>
              <c:numCache>
                <c:formatCode>General</c:formatCode>
                <c:ptCount val="7"/>
                <c:pt idx="0">
                  <c:v>2010</c:v>
                </c:pt>
                <c:pt idx="1">
                  <c:v>2011</c:v>
                </c:pt>
                <c:pt idx="2">
                  <c:v>2012</c:v>
                </c:pt>
                <c:pt idx="3">
                  <c:v>2013</c:v>
                </c:pt>
                <c:pt idx="4">
                  <c:v>2014</c:v>
                </c:pt>
                <c:pt idx="5">
                  <c:v>2015</c:v>
                </c:pt>
                <c:pt idx="6">
                  <c:v>2016</c:v>
                </c:pt>
              </c:numCache>
            </c:numRef>
          </c:cat>
          <c:val>
            <c:numRef>
              <c:f>Sheet1!$B$2:$B$8</c:f>
              <c:numCache>
                <c:formatCode>General</c:formatCode>
                <c:ptCount val="7"/>
                <c:pt idx="0">
                  <c:v>418.4</c:v>
                </c:pt>
                <c:pt idx="1">
                  <c:v>471.9</c:v>
                </c:pt>
                <c:pt idx="2">
                  <c:v>511.5</c:v>
                </c:pt>
                <c:pt idx="3">
                  <c:v>558.9</c:v>
                </c:pt>
                <c:pt idx="4">
                  <c:v>615.6</c:v>
                </c:pt>
                <c:pt idx="5">
                  <c:v>671.3</c:v>
                </c:pt>
                <c:pt idx="6">
                  <c:v>687.4</c:v>
                </c:pt>
              </c:numCache>
            </c:numRef>
          </c:val>
        </c:ser>
        <c:ser>
          <c:idx val="1"/>
          <c:order val="1"/>
          <c:tx>
            <c:strRef>
              <c:f>Sheet1!$C$1</c:f>
              <c:strCache>
                <c:ptCount val="1"/>
                <c:pt idx="0">
                  <c:v>mean seasonally adjusted foreign sales</c:v>
                </c:pt>
              </c:strCache>
            </c:strRef>
          </c:tx>
          <c:spPr>
            <a:solidFill>
              <a:schemeClr val="accent2"/>
            </a:solidFill>
            <a:ln>
              <a:noFill/>
            </a:ln>
            <a:effectLst/>
          </c:spPr>
          <c:cat>
            <c:numRef>
              <c:f>Sheet1!$A$2:$A$8</c:f>
              <c:numCache>
                <c:formatCode>General</c:formatCode>
                <c:ptCount val="7"/>
                <c:pt idx="0">
                  <c:v>2010</c:v>
                </c:pt>
                <c:pt idx="1">
                  <c:v>2011</c:v>
                </c:pt>
                <c:pt idx="2">
                  <c:v>2012</c:v>
                </c:pt>
                <c:pt idx="3">
                  <c:v>2013</c:v>
                </c:pt>
                <c:pt idx="4">
                  <c:v>2014</c:v>
                </c:pt>
                <c:pt idx="5">
                  <c:v>2015</c:v>
                </c:pt>
                <c:pt idx="6">
                  <c:v>2016</c:v>
                </c:pt>
              </c:numCache>
            </c:numRef>
          </c:cat>
          <c:val>
            <c:numRef>
              <c:f>Sheet1!$C$2:$C$8</c:f>
              <c:numCache>
                <c:formatCode>General</c:formatCode>
                <c:ptCount val="7"/>
                <c:pt idx="0">
                  <c:v>74.900000000000006</c:v>
                </c:pt>
                <c:pt idx="1">
                  <c:v>81.900000000000006</c:v>
                </c:pt>
                <c:pt idx="2">
                  <c:v>88.4</c:v>
                </c:pt>
                <c:pt idx="3">
                  <c:v>103.3</c:v>
                </c:pt>
                <c:pt idx="4">
                  <c:v>113.3</c:v>
                </c:pt>
                <c:pt idx="5">
                  <c:v>147.5</c:v>
                </c:pt>
                <c:pt idx="6">
                  <c:v>166.3</c:v>
                </c:pt>
              </c:numCache>
            </c:numRef>
          </c:val>
        </c:ser>
        <c:ser>
          <c:idx val="2"/>
          <c:order val="2"/>
          <c:tx>
            <c:strRef>
              <c:f>Sheet1!$D$1</c:f>
              <c:strCache>
                <c:ptCount val="1"/>
                <c:pt idx="0">
                  <c:v>Column1</c:v>
                </c:pt>
              </c:strCache>
            </c:strRef>
          </c:tx>
          <c:spPr>
            <a:solidFill>
              <a:schemeClr val="accent3"/>
            </a:solidFill>
            <a:ln>
              <a:noFill/>
            </a:ln>
            <a:effectLst/>
          </c:spPr>
          <c:cat>
            <c:numRef>
              <c:f>Sheet1!$A$2:$A$8</c:f>
              <c:numCache>
                <c:formatCode>General</c:formatCode>
                <c:ptCount val="7"/>
                <c:pt idx="0">
                  <c:v>2010</c:v>
                </c:pt>
                <c:pt idx="1">
                  <c:v>2011</c:v>
                </c:pt>
                <c:pt idx="2">
                  <c:v>2012</c:v>
                </c:pt>
                <c:pt idx="3">
                  <c:v>2013</c:v>
                </c:pt>
                <c:pt idx="4">
                  <c:v>2014</c:v>
                </c:pt>
                <c:pt idx="5">
                  <c:v>2015</c:v>
                </c:pt>
                <c:pt idx="6">
                  <c:v>2016</c:v>
                </c:pt>
              </c:numCache>
            </c:numRef>
          </c:cat>
          <c:val>
            <c:numRef>
              <c:f>Sheet1!$D$2:$D$8</c:f>
              <c:numCache>
                <c:formatCode>General</c:formatCode>
                <c:ptCount val="7"/>
              </c:numCache>
            </c:numRef>
          </c:val>
        </c:ser>
        <c:gapWidth val="219"/>
        <c:overlap val="-27"/>
        <c:axId val="289446912"/>
        <c:axId val="289453184"/>
      </c:barChart>
      <c:catAx>
        <c:axId val="28944691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453184"/>
        <c:crosses val="autoZero"/>
        <c:auto val="1"/>
        <c:lblAlgn val="ctr"/>
        <c:lblOffset val="100"/>
      </c:catAx>
      <c:valAx>
        <c:axId val="28945318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unit retail sales in thousands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4469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lazarus junior</dc:creator>
  <cp:lastModifiedBy>Shee</cp:lastModifiedBy>
  <cp:revision>2</cp:revision>
  <dcterms:created xsi:type="dcterms:W3CDTF">2021-08-06T10:50:00Z</dcterms:created>
  <dcterms:modified xsi:type="dcterms:W3CDTF">2021-08-06T10:50:00Z</dcterms:modified>
</cp:coreProperties>
</file>